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72"/>
          <w:szCs w:val="72"/>
        </w:rPr>
      </w:pPr>
    </w:p>
    <w:p>
      <w:pPr>
        <w:jc w:val="center"/>
        <w:rPr>
          <w:rFonts w:ascii="仿宋_GB2312" w:eastAsia="仿宋_GB2312" w:cs="仿宋_GB2312"/>
          <w:sz w:val="16"/>
          <w:szCs w:val="16"/>
        </w:rPr>
      </w:pPr>
    </w:p>
    <w:p>
      <w:pPr>
        <w:jc w:val="center"/>
        <w:rPr>
          <w:rFonts w:ascii="仿宋_GB2312" w:eastAsia="仿宋_GB2312" w:cs="仿宋_GB2312"/>
          <w:sz w:val="16"/>
          <w:szCs w:val="16"/>
        </w:rPr>
      </w:pPr>
    </w:p>
    <w:p>
      <w:pPr>
        <w:jc w:val="center"/>
        <w:rPr>
          <w:rFonts w:ascii="仿宋_GB2312" w:eastAsia="仿宋_GB2312" w:cs="仿宋_GB2312"/>
          <w:sz w:val="16"/>
          <w:szCs w:val="16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浙马协〔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pStyle w:val="3"/>
        <w:jc w:val="center"/>
        <w:rPr>
          <w:rFonts w:hint="eastAsia" w:ascii="汉仪大宋简" w:eastAsia="汉仪大宋简"/>
          <w:sz w:val="36"/>
          <w:szCs w:val="36"/>
        </w:rPr>
      </w:pPr>
    </w:p>
    <w:p>
      <w:pPr>
        <w:spacing w:line="560" w:lineRule="exact"/>
        <w:jc w:val="center"/>
        <w:rPr>
          <w:rFonts w:ascii="汉仪大宋简" w:hAnsi="汉仪大宋简" w:eastAsia="汉仪大宋简" w:cs="汉仪大宋简"/>
          <w:b/>
          <w:sz w:val="36"/>
          <w:szCs w:val="36"/>
        </w:rPr>
      </w:pPr>
      <w:bookmarkStart w:id="0" w:name="_GoBack"/>
      <w:r>
        <w:rPr>
          <w:rFonts w:hint="eastAsia" w:ascii="汉仪大宋简" w:hAnsi="汉仪大宋简" w:eastAsia="汉仪大宋简" w:cs="汉仪大宋简"/>
          <w:b/>
          <w:sz w:val="36"/>
          <w:szCs w:val="36"/>
        </w:rPr>
        <w:t>关于举办浙江马拉松裁判和赛事监督培训班的通知</w:t>
      </w:r>
    </w:p>
    <w:bookmarkEnd w:id="0"/>
    <w:p>
      <w:pPr>
        <w:rPr>
          <w:rFonts w:ascii="汉仪大宋简" w:hAnsi="汉仪大宋简" w:eastAsia="汉仪大宋简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/>
        <w:jc w:val="both"/>
        <w:textAlignment w:val="auto"/>
        <w:rPr>
          <w:rFonts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各会员、相关马拉松赛事组委会：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为更多地培养我省马拉松骨干裁判，提升裁判的执裁水平，促进我省马拉松赛事规范化、标准化，促进浙江的马拉松及路跑赛事健康有序地发展。经浙江省体育总会同意，浙江省马拉松及路跑协会决定于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月下旬举办浙江马拉松裁判和赛事监督培训班，现将有关事项通知如下：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left="630" w:leftChars="300" w:right="0" w:rightChars="0"/>
        <w:jc w:val="both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一、培训时间和地点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left="630" w:leftChars="300"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月23日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25日（23日上午报到，25日下午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离会）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地点：宝善宾馆，地址：杭州市下城区体育场路</w:t>
      </w:r>
      <w:r>
        <w:rPr>
          <w:rFonts w:ascii="仿宋_GB2312" w:hAnsi="仿宋_GB2312" w:eastAsia="仿宋_GB2312" w:cs="仿宋_GB2312"/>
          <w:sz w:val="32"/>
          <w:szCs w:val="32"/>
        </w:rPr>
        <w:t>102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号，电话：</w:t>
      </w:r>
      <w:r>
        <w:rPr>
          <w:rFonts w:ascii="仿宋_GB2312" w:hAnsi="仿宋_GB2312" w:eastAsia="仿宋_GB2312" w:cs="仿宋_GB2312"/>
          <w:sz w:val="32"/>
          <w:szCs w:val="32"/>
        </w:rPr>
        <w:t>0571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ascii="仿宋_GB2312" w:hAnsi="仿宋_GB2312" w:eastAsia="仿宋_GB2312" w:cs="仿宋_GB2312"/>
          <w:sz w:val="32"/>
          <w:szCs w:val="32"/>
        </w:rPr>
        <w:t>85193710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（一）国内外马拉松赛事发展现状；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right="0" w:rightChars="0"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eastAsia="仿宋_GB2312" w:cs="仿宋_GB2312"/>
          <w:sz w:val="32"/>
          <w:szCs w:val="32"/>
        </w:rPr>
        <w:t>马拉松赛事定位、竞赛组织和管理要求；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（三）马拉松竞赛组织的基本概况、岗位设置和执裁要求；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（四）赛道丈量基础知识；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（五）超级马拉松基本概念及计距赛竞赛规则和实施；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（六）马拉松赛道心脏骤停及热射病的急救流程。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三、报名资格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（一）具有国家田径二级及以上级别的裁判；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（二）浙江省马拉松及路跑协会单位会员以上的成员；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（三）从事过马拉松竞赛组织的浙江省马拉松及路跑协会个人会员；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（四）浙江省马拉松及路跑协会赛事指导委员会成员单位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所在的体育部门一位分管领导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一位具体从事马拉松竞赛组织的干部。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有意参加培训的学员，请按照要求填写报名表（附件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），并通过电子邮件的形式发送到报名邮箱：</w:t>
      </w:r>
      <w:r>
        <w:fldChar w:fldCharType="begin"/>
      </w:r>
      <w:r>
        <w:instrText xml:space="preserve"> HYPERLINK "mailto:malasongpx@163.com" </w:instrText>
      </w:r>
      <w:r>
        <w:fldChar w:fldCharType="separate"/>
      </w:r>
      <w:r>
        <w:rPr>
          <w:rStyle w:val="9"/>
          <w:rFonts w:ascii="仿宋_GB2312" w:hAnsi="仿宋_GB2312" w:eastAsia="仿宋_GB2312" w:cs="仿宋_GB2312"/>
          <w:color w:val="auto"/>
          <w:sz w:val="32"/>
          <w:szCs w:val="32"/>
          <w:u w:val="none"/>
        </w:rPr>
        <w:t>run@zjim.</w:t>
      </w:r>
      <w:r>
        <w:rPr>
          <w:rFonts w:ascii="仿宋_GB2312" w:hAnsi="仿宋_GB2312" w:eastAsia="仿宋_GB2312" w:cs="仿宋_GB2312"/>
          <w:sz w:val="32"/>
          <w:szCs w:val="32"/>
        </w:rPr>
        <w:t>org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（邮件名称请遵照此格式：姓名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手机号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马拉松裁判培训报名，如：张三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ascii="仿宋_GB2312" w:hAnsi="仿宋_GB2312" w:eastAsia="仿宋_GB2312" w:cs="仿宋_GB2312"/>
          <w:sz w:val="32"/>
          <w:szCs w:val="32"/>
        </w:rPr>
        <w:t xml:space="preserve"> 13511122233 </w:t>
      </w:r>
      <w:r>
        <w:rPr>
          <w:rFonts w:hint="eastAsia" w:ascii="仿宋_GB2312" w:hAnsi="仿宋_GB2312" w:eastAsia="仿宋_GB2312" w:cs="仿宋_GB2312"/>
          <w:sz w:val="32"/>
          <w:szCs w:val="32"/>
        </w:rPr>
        <w:t>马拉松裁判培训报名）；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报名截止时间：2018年7月10日前，过期不再受理。通过审核的学员，主办单位将电话或短信通知参加培训本人。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2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（一）浙江省马拉松及路跑协会单位会员以上成员、赛事指导委员会成员选派的定额学员，免收培训费和食宿费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（二）浙江省马拉松及路跑协会个人会员，免收培训费和伙食费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（三）其他学员每人需交纳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元培训费（含资料费），食宿费自理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（四）所有参加培训的学员交通费自理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（五）杭州城区的学员不安排住宿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需要交费的学员，在收到协会确认通知后一周内将培训费汇到协会帐户：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名：浙江省马拉松及路跑协会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开户行：建设银行杭州市中山支行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3305 0161 8235 0000 0060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2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培训的学员将接受综合考核，通过考核的学员可获得浙江省马拉松及路跑协会颁发的“马拉松裁判”、“马拉松赛事监督”的证书，获得证书的学员即可成为浙江马拉松注册裁判和赛事监督，注册的裁判将有机会成为浙江马拉松积分赛赛事的省派裁判；其名单在将浙江马拉松官网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八、其他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培训相关事宜联系人：蒋燕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俞亦欢；联系电话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0571-85062073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传真：</w:t>
      </w:r>
      <w:r>
        <w:rPr>
          <w:rFonts w:ascii="仿宋_GB2312" w:hAnsi="仿宋_GB2312" w:eastAsia="仿宋_GB2312" w:cs="仿宋_GB2312"/>
          <w:sz w:val="32"/>
          <w:szCs w:val="32"/>
        </w:rPr>
        <w:t>0571-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85153986。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年浙江马拉松裁判和赛事监督培训班报名表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0" w:rightChars="0" w:firstLine="1600" w:firstLineChars="5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、协会赛事指导委员会成员赛事名单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100" w:lineRule="exact"/>
        <w:ind w:firstLine="560" w:firstLineChars="200"/>
        <w:rPr>
          <w:sz w:val="28"/>
          <w:szCs w:val="28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spacing w:line="44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浙江省马拉松及路跑协会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汉仪大宋简" w:hAnsi="汉仪大宋简" w:eastAsia="汉仪大宋简" w:cs="汉仪大宋简"/>
          <w:b/>
          <w:bCs/>
          <w:sz w:val="36"/>
          <w:szCs w:val="36"/>
        </w:rPr>
      </w:pPr>
      <w:r>
        <w:rPr>
          <w:rFonts w:ascii="汉仪大宋简" w:hAnsi="汉仪大宋简" w:eastAsia="汉仪大宋简" w:cs="汉仪大宋简"/>
          <w:b/>
          <w:bCs/>
          <w:sz w:val="36"/>
          <w:szCs w:val="36"/>
        </w:rPr>
        <w:t>2018</w:t>
      </w:r>
      <w:r>
        <w:rPr>
          <w:rFonts w:hint="eastAsia" w:ascii="汉仪大宋简" w:hAnsi="汉仪大宋简" w:eastAsia="汉仪大宋简" w:cs="汉仪大宋简"/>
          <w:b/>
          <w:bCs/>
          <w:sz w:val="36"/>
          <w:szCs w:val="36"/>
        </w:rPr>
        <w:t>年浙江马拉松裁判和赛事监督培训班报名表</w:t>
      </w:r>
    </w:p>
    <w:tbl>
      <w:tblPr>
        <w:tblStyle w:val="10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186"/>
        <w:gridCol w:w="989"/>
        <w:gridCol w:w="1097"/>
        <w:gridCol w:w="1"/>
        <w:gridCol w:w="1781"/>
        <w:gridCol w:w="13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出生日期</w:t>
            </w:r>
          </w:p>
        </w:tc>
        <w:tc>
          <w:tcPr>
            <w:tcW w:w="2236" w:type="dxa"/>
            <w:vAlign w:val="center"/>
          </w:tcPr>
          <w:p>
            <w:pPr>
              <w:spacing w:beforeLine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65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现有裁判级别</w:t>
            </w:r>
          </w:p>
        </w:tc>
        <w:tc>
          <w:tcPr>
            <w:tcW w:w="223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2"/>
                <w:szCs w:val="32"/>
              </w:rPr>
              <w:t>单位和职务</w:t>
            </w:r>
          </w:p>
        </w:tc>
        <w:tc>
          <w:tcPr>
            <w:tcW w:w="7426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2"/>
                <w:szCs w:val="32"/>
              </w:rPr>
              <w:t>通讯地址</w:t>
            </w:r>
          </w:p>
        </w:tc>
        <w:tc>
          <w:tcPr>
            <w:tcW w:w="327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2"/>
                <w:szCs w:val="32"/>
              </w:rPr>
              <w:t>联系电话</w:t>
            </w:r>
          </w:p>
        </w:tc>
        <w:tc>
          <w:tcPr>
            <w:tcW w:w="327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E-mail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exac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本人从事马拉松赛事或相关赛事组织的经历</w:t>
            </w:r>
          </w:p>
        </w:tc>
        <w:tc>
          <w:tcPr>
            <w:tcW w:w="7426" w:type="dxa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exac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以往参加体育竞赛组织培训的情况</w:t>
            </w:r>
          </w:p>
        </w:tc>
        <w:tc>
          <w:tcPr>
            <w:tcW w:w="7426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exac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所在单位意见（个人报名为本人签名）</w:t>
            </w:r>
          </w:p>
        </w:tc>
        <w:tc>
          <w:tcPr>
            <w:tcW w:w="7426" w:type="dxa"/>
            <w:gridSpan w:val="7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240" w:lineRule="atLeast"/>
              <w:ind w:firstLine="4320" w:firstLineChars="13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盖章（签名）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519" w:bottom="1440" w:left="151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2" w:charSpace="0"/>
        </w:sectPr>
      </w:pP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汉仪大宋简" w:hAnsi="汉仪大宋简" w:eastAsia="汉仪大宋简" w:cs="汉仪大宋简"/>
          <w:sz w:val="36"/>
          <w:szCs w:val="36"/>
        </w:rPr>
      </w:pPr>
      <w:r>
        <w:rPr>
          <w:rFonts w:hint="eastAsia" w:ascii="汉仪大宋简" w:hAnsi="汉仪大宋简" w:eastAsia="汉仪大宋简" w:cs="汉仪大宋简"/>
          <w:sz w:val="36"/>
          <w:szCs w:val="36"/>
        </w:rPr>
        <w:t>赛事指导委员会成员的赛事名单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11"/>
        <w:tblW w:w="96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5274"/>
        <w:gridCol w:w="3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赛事名称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赛事所在地级市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杭州马拉松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宁波马拉松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温州马拉松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绍兴马拉松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衢州马拉松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衢州市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舟山群岛马拉松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舟山市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丽水半程马拉松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丽水市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杭州梦想小镇半程马拉松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桐庐国际半程马拉松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杭州超级马拉松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临安半程马拉松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杭州国际女子马拉松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宁波山地马拉松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浙江马拉松精英赛（温州·文成）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苍南马拉松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泰顺国际商界精英马拉松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德清国际竹海马拉松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太湖图影国际半程马拉松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海盐南北湖半程马拉松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曹娥江国际半程马拉松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义乌国际半程马拉松赛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磐安生态马拉松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金东乡村绿道马拉松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兰溪马拉松赛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横店马拉松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永康半程马拉松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开化马拉松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衢州市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岱山海岬马拉松赛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舟山市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松阳马拉松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丽水市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5274" w:type="dxa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浙江马拉松接力赛</w:t>
            </w:r>
          </w:p>
        </w:tc>
        <w:tc>
          <w:tcPr>
            <w:tcW w:w="350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杭州市</w:t>
            </w:r>
          </w:p>
        </w:tc>
      </w:tr>
    </w:tbl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11"/>
        <w:tblW w:w="965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9650" w:type="dxa"/>
            <w:tcBorders>
              <w:tl2br w:val="nil"/>
              <w:tr2bl w:val="nil"/>
            </w:tcBorders>
          </w:tcPr>
          <w:p>
            <w:pPr>
              <w:widowControl w:val="0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抄送：浙江省体育总会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0" w:type="dxa"/>
            <w:tcBorders>
              <w:tl2br w:val="nil"/>
              <w:tr2bl w:val="nil"/>
            </w:tcBorders>
          </w:tcPr>
          <w:p>
            <w:pPr>
              <w:widowControl w:val="0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浙江省马拉松及路跑协会                       2018年7月2日印发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??-55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宋简">
    <w:panose1 w:val="02010600000101010101"/>
    <w:charset w:val="86"/>
    <w:family w:val="modern"/>
    <w:pitch w:val="default"/>
    <w:sig w:usb0="00000001" w:usb1="080E0800" w:usb2="00000002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dobe 宋体 Std L">
    <w:panose1 w:val="02020300000000000000"/>
    <w:charset w:val="86"/>
    <w:family w:val="roman"/>
    <w:pitch w:val="default"/>
    <w:sig w:usb0="00000001" w:usb1="0A0F1810" w:usb2="00000016" w:usb3="00000000" w:csb0="00060007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造字工房丁丁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俊雅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力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劲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形黑（非商用）粗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形黑（非商用）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圆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情书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文研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映画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朗倩（非商用）粗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朗倩（非商用）细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版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445" w:wrap="around" w:vAnchor="text" w:hAnchor="margin" w:xAlign="outside" w:y="14"/>
      <w:jc w:val="center"/>
      <w:rPr>
        <w:rStyle w:val="8"/>
        <w:rFonts w:ascii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t xml:space="preserve">— </w:t>
    </w: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17</w:t>
    </w:r>
    <w:r>
      <w:rPr>
        <w:rStyle w:val="8"/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—</w:t>
    </w:r>
  </w:p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E2787"/>
    <w:rsid w:val="00230791"/>
    <w:rsid w:val="00231A70"/>
    <w:rsid w:val="003340CB"/>
    <w:rsid w:val="00416C4A"/>
    <w:rsid w:val="005C61B3"/>
    <w:rsid w:val="005F13FE"/>
    <w:rsid w:val="007A3434"/>
    <w:rsid w:val="007F3F31"/>
    <w:rsid w:val="008B1C6C"/>
    <w:rsid w:val="00944870"/>
    <w:rsid w:val="00AB729F"/>
    <w:rsid w:val="00C4154D"/>
    <w:rsid w:val="00EE35EA"/>
    <w:rsid w:val="039F33D3"/>
    <w:rsid w:val="144F5FB8"/>
    <w:rsid w:val="14AB4A1C"/>
    <w:rsid w:val="1AB60097"/>
    <w:rsid w:val="1DFC3382"/>
    <w:rsid w:val="1FEE2787"/>
    <w:rsid w:val="256371E7"/>
    <w:rsid w:val="2A80275C"/>
    <w:rsid w:val="2D925C30"/>
    <w:rsid w:val="2E5F35D9"/>
    <w:rsid w:val="30151750"/>
    <w:rsid w:val="30734663"/>
    <w:rsid w:val="3C40241D"/>
    <w:rsid w:val="402D38BC"/>
    <w:rsid w:val="40930DA8"/>
    <w:rsid w:val="41CF713B"/>
    <w:rsid w:val="42E70DA5"/>
    <w:rsid w:val="4B041C54"/>
    <w:rsid w:val="4B2A78BB"/>
    <w:rsid w:val="4EDF124E"/>
    <w:rsid w:val="50D47B74"/>
    <w:rsid w:val="51285299"/>
    <w:rsid w:val="51325367"/>
    <w:rsid w:val="551C0AC1"/>
    <w:rsid w:val="589B22BB"/>
    <w:rsid w:val="594623F8"/>
    <w:rsid w:val="59932A4B"/>
    <w:rsid w:val="63B34784"/>
    <w:rsid w:val="64CC7F5B"/>
    <w:rsid w:val="657356A0"/>
    <w:rsid w:val="66680AAF"/>
    <w:rsid w:val="66813608"/>
    <w:rsid w:val="6A681E22"/>
    <w:rsid w:val="712A6594"/>
    <w:rsid w:val="71905B10"/>
    <w:rsid w:val="73D96552"/>
    <w:rsid w:val="74B56D3F"/>
    <w:rsid w:val="78AE1FAC"/>
    <w:rsid w:val="7A1677F6"/>
    <w:rsid w:val="7BFC3386"/>
    <w:rsid w:val="7F7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12"/>
    <w:qFormat/>
    <w:uiPriority w:val="99"/>
    <w:pPr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unhideWhenUsed/>
    <w:uiPriority w:val="99"/>
    <w:rPr>
      <w:rFonts w:cs="Times New Roman"/>
      <w:color w:val="0563C1"/>
      <w:u w:val="single"/>
    </w:rPr>
  </w:style>
  <w:style w:type="table" w:styleId="11">
    <w:name w:val="Table Grid"/>
    <w:basedOn w:val="10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3 Char"/>
    <w:basedOn w:val="7"/>
    <w:link w:val="3"/>
    <w:semiHidden/>
    <w:qFormat/>
    <w:uiPriority w:val="9"/>
    <w:rPr>
      <w:rFonts w:ascii="Times New Roman" w:hAnsi="Times New Roman"/>
      <w:b/>
      <w:bCs/>
      <w:kern w:val="0"/>
      <w:sz w:val="32"/>
      <w:szCs w:val="32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Times New Roman" w:hAnsi="Times New Roman"/>
      <w:kern w:val="0"/>
      <w:sz w:val="18"/>
      <w:szCs w:val="18"/>
    </w:rPr>
  </w:style>
  <w:style w:type="character" w:customStyle="1" w:styleId="14">
    <w:name w:val="页眉 Char"/>
    <w:basedOn w:val="7"/>
    <w:link w:val="5"/>
    <w:semiHidden/>
    <w:qFormat/>
    <w:uiPriority w:val="99"/>
    <w:rPr>
      <w:rFonts w:ascii="Times New Roman" w:hAnsi="Times New Roman"/>
      <w:kern w:val="0"/>
      <w:sz w:val="18"/>
      <w:szCs w:val="18"/>
    </w:rPr>
  </w:style>
  <w:style w:type="paragraph" w:customStyle="1" w:styleId="15">
    <w:name w:val="_Style 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1855</Words>
  <Characters>10575</Characters>
  <Lines>88</Lines>
  <Paragraphs>24</Paragraphs>
  <ScaleCrop>false</ScaleCrop>
  <LinksUpToDate>false</LinksUpToDate>
  <CharactersWithSpaces>12406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2017-01-25T03:01:00Z</dcterms:created>
  <dc:creator>Administrator</dc:creator>
  <cp:lastModifiedBy>体育局</cp:lastModifiedBy>
  <cp:lastPrinted>2017-04-07T01:47:00Z</cp:lastPrinted>
  <dcterms:modified xsi:type="dcterms:W3CDTF">2018-07-04T09:58:56Z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